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cabezado1"/>
        <w:numPr>
          <w:ilvl w:val="0"/>
          <w:numId w:val="2"/>
        </w:numPr>
        <w:rPr>
          <w:sz w:val="24"/>
          <w:sz w:val="24"/>
          <w:szCs w:val="24"/>
          <w:rFonts w:ascii="Arial" w:hAnsi="Arial" w:eastAsia="Times New Roman" w:cs="Arial"/>
          <w:color w:val="auto"/>
          <w:lang w:val="es-UY" w:eastAsia="es-UY" w:bidi="ar-SA"/>
        </w:rPr>
      </w:pPr>
      <w:r>
        <w:rPr>
          <w:rFonts w:cs="Arial" w:ascii="Arial" w:hAnsi="Arial"/>
          <w:sz w:val="24"/>
          <w:szCs w:val="24"/>
          <w:lang w:val="es-UY" w:eastAsia="es-UY"/>
        </w:rPr>
      </w:r>
      <w:r/>
    </w:p>
    <w:p>
      <w:pPr>
        <w:pStyle w:val="Normal"/>
        <w:jc w:val="center"/>
        <w:rPr>
          <w:sz w:val="30"/>
          <w:u w:val="single"/>
          <w:b/>
          <w:sz w:val="30"/>
          <w:b/>
          <w:szCs w:val="30"/>
          <w:rFonts w:ascii="Arial" w:hAnsi="Arial" w:eastAsia="Times New Roman" w:cs="Arial"/>
          <w:color w:val="auto"/>
          <w:lang w:val="es-ES" w:eastAsia="zh-CN" w:bidi="ar-SA"/>
        </w:rPr>
      </w:pPr>
      <w:r>
        <w:rPr>
          <w:rFonts w:cs="Arial" w:ascii="Arial" w:hAnsi="Arial"/>
          <w:b/>
          <w:sz w:val="30"/>
          <w:szCs w:val="30"/>
          <w:u w:val="single"/>
        </w:rPr>
        <w:t>ANEXO - ACLARACIONES A RAIZ DE LA EMERGENCIA SANITARIA COVID-19</w:t>
      </w:r>
      <w:r/>
    </w:p>
    <w:p>
      <w:pPr>
        <w:pStyle w:val="Normal"/>
        <w:jc w:val="center"/>
        <w:rPr>
          <w:sz w:val="30"/>
          <w:b/>
          <w:sz w:val="30"/>
          <w:b/>
          <w:szCs w:val="30"/>
          <w:rFonts w:ascii="Times New Roman" w:hAnsi="Times New Roman" w:eastAsia="Times New Roman" w:cs="Times New Roman"/>
          <w:color w:val="auto"/>
          <w:lang w:val="es-ES" w:eastAsia="zh-CN" w:bidi="ar-SA"/>
        </w:rPr>
      </w:pPr>
      <w:r>
        <w:rPr>
          <w:b/>
          <w:sz w:val="30"/>
          <w:szCs w:val="30"/>
        </w:rPr>
      </w:r>
      <w:r/>
    </w:p>
    <w:p>
      <w:pPr>
        <w:pStyle w:val="Normal"/>
      </w:pPr>
      <w:r>
        <w:rPr/>
      </w:r>
      <w:r/>
    </w:p>
    <w:p>
      <w:pPr>
        <w:pStyle w:val="Normal"/>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En el marco de las medidas tomadas por la emergencia sanitaria COVID-19, realizamos las siguientes aclaraciones:</w:t>
      </w:r>
      <w:r/>
    </w:p>
    <w:p>
      <w:pPr>
        <w:pStyle w:val="Normal"/>
        <w:jc w:val="both"/>
        <w:rPr>
          <w:sz w:val="24"/>
          <w:sz w:val="24"/>
          <w:szCs w:val="24"/>
          <w:rFonts w:ascii="Arial" w:hAnsi="Arial" w:eastAsia="Arial" w:cs="Arial"/>
          <w:color w:val="auto"/>
          <w:lang w:val="es-ES" w:eastAsia="zh-CN" w:bidi="ar-SA"/>
        </w:rPr>
      </w:pPr>
      <w:r>
        <w:rPr>
          <w:rFonts w:eastAsia="Arial" w:cs="Arial" w:ascii="Arial" w:hAnsi="Arial"/>
          <w:sz w:val="24"/>
          <w:szCs w:val="24"/>
        </w:rPr>
        <w:t xml:space="preserve"> </w:t>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-La apertura será presencial.</w:t>
      </w:r>
      <w:r/>
    </w:p>
    <w:p>
      <w:pPr>
        <w:pStyle w:val="Normal"/>
        <w:ind w:left="720" w:right="0" w:hanging="0"/>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pPr>
      <w:r>
        <w:rPr>
          <w:rFonts w:cs="Arial" w:ascii="Arial" w:hAnsi="Arial"/>
          <w:sz w:val="24"/>
          <w:szCs w:val="24"/>
          <w:shd w:fill="FFFFFF" w:val="clear"/>
        </w:rPr>
        <w:t>-Se tomarán las máximas precauciones sanitarias, deberá presentarse una sola persona por empresa con tapabocas.</w:t>
      </w:r>
      <w:r>
        <w:rPr>
          <w:rFonts w:cs="Arial" w:ascii="Arial" w:hAnsi="Arial"/>
          <w:sz w:val="24"/>
          <w:szCs w:val="24"/>
        </w:rPr>
        <w:t xml:space="preserve"> </w:t>
      </w:r>
      <w:r/>
    </w:p>
    <w:p>
      <w:pPr>
        <w:pStyle w:val="Normal"/>
        <w:ind w:left="720" w:right="0" w:hanging="0"/>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ind w:left="720" w:right="0" w:hanging="0"/>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 xml:space="preserve">-Las ofertas solo podrán presentarse personalmente en el Servicio de Compras (Edificio Sede de la I.M., Planta Baja, puerta PB002), desde media hora antes de la fijada para la correspondiente apertura de ofertas o enviarse por fax al teléfono 19501915, en ambos casos hasta la hora fijada para dicha apertura. </w:t>
      </w:r>
      <w:r/>
    </w:p>
    <w:p>
      <w:pPr>
        <w:pStyle w:val="Prrafodelista"/>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-Las ofertas en buzón no serán recibidas.</w:t>
      </w:r>
      <w:r/>
    </w:p>
    <w:p>
      <w:pPr>
        <w:pStyle w:val="Normal"/>
        <w:ind w:left="720" w:right="0" w:hanging="0"/>
        <w:jc w:val="both"/>
        <w:rPr>
          <w:sz w:val="20"/>
          <w:sz w:val="20"/>
          <w:szCs w:val="20"/>
          <w:rFonts w:ascii="Times New Roman" w:hAnsi="Times New Roman" w:eastAsia="Times New Roman" w:cs="Times New Roman"/>
          <w:color w:val="auto"/>
          <w:lang w:val="es-ES" w:eastAsia="zh-CN" w:bidi="ar-SA"/>
        </w:rPr>
      </w:pPr>
      <w:r>
        <w:rPr/>
      </w:r>
      <w:r/>
    </w:p>
    <w:p>
      <w:pPr>
        <w:pStyle w:val="Prrafodelista"/>
        <w:jc w:val="both"/>
        <w:rPr>
          <w:sz w:val="24"/>
          <w:sz w:val="24"/>
          <w:szCs w:val="24"/>
          <w:rFonts w:ascii="Arial" w:hAnsi="Arial" w:eastAsia="Times New Roman" w:cs="Arial"/>
          <w:color w:val="FF0000"/>
          <w:lang w:val="es-ES" w:eastAsia="zh-CN" w:bidi="ar-SA"/>
        </w:rPr>
      </w:pPr>
      <w:r>
        <w:rPr>
          <w:rFonts w:cs="Arial" w:ascii="Arial" w:hAnsi="Arial"/>
          <w:color w:val="FF0000"/>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 xml:space="preserve">-En caso de que la puerta principal del Edificio Sede sobre 18 de Julio se encuentre cerrada, el ingreso se realizará por la puerta en la calle San José 1376. </w:t>
      </w:r>
      <w:r/>
    </w:p>
    <w:p>
      <w:pPr>
        <w:pStyle w:val="Normal"/>
        <w:ind w:left="720" w:right="0" w:hanging="0"/>
        <w:jc w:val="both"/>
        <w:rPr>
          <w:sz w:val="20"/>
          <w:sz w:val="20"/>
          <w:szCs w:val="20"/>
          <w:rFonts w:ascii="Times New Roman" w:hAnsi="Times New Roman" w:eastAsia="Times New Roman" w:cs="Times New Roman"/>
          <w:color w:val="auto"/>
          <w:lang w:val="es-ES" w:eastAsia="zh-CN" w:bidi="ar-SA"/>
        </w:rPr>
      </w:pPr>
      <w:r>
        <w:rPr/>
      </w:r>
      <w:r/>
    </w:p>
    <w:p>
      <w:pPr>
        <w:pStyle w:val="Normal"/>
        <w:jc w:val="both"/>
      </w:pPr>
      <w:r>
        <w:rPr>
          <w:rFonts w:cs="Arial" w:ascii="Arial" w:hAnsi="Arial"/>
          <w:sz w:val="24"/>
          <w:szCs w:val="24"/>
        </w:rPr>
        <w:t xml:space="preserve">-Para los casos en que los proveedores no posean número de proveedor de la I.M, se recomienda solicitarlo previamente al acto de apertura, al correo electrónico: </w:t>
      </w:r>
      <w:r>
        <w:rPr>
          <w:rFonts w:cs="Arial" w:ascii="Arial" w:hAnsi="Arial"/>
          <w:b/>
          <w:bCs/>
          <w:sz w:val="24"/>
          <w:szCs w:val="24"/>
        </w:rPr>
        <w:t>atencion.</w:t>
      </w:r>
      <w:hyperlink r:id="rId2">
        <w:r>
          <w:rPr>
            <w:rStyle w:val="EnlacedeInternet"/>
            <w:rFonts w:cs="Arial" w:ascii="Arial" w:hAnsi="Arial"/>
            <w:b/>
            <w:bCs/>
            <w:sz w:val="24"/>
            <w:szCs w:val="24"/>
          </w:rPr>
          <w:t>proveedores@imm.gub.uy</w:t>
        </w:r>
      </w:hyperlink>
      <w:r>
        <w:rPr>
          <w:rFonts w:cs="Arial" w:ascii="Arial" w:hAnsi="Arial"/>
          <w:b/>
          <w:bCs/>
          <w:sz w:val="24"/>
          <w:szCs w:val="24"/>
        </w:rPr>
        <w:t>, indicando número de RUT o C.I.;   razón social, o nombre y apellido; dirección, teléfono/celular</w:t>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 El proveedor que deba comprar pliego para participar en una licitación en la IM deberá:</w:t>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pPr>
      <w:r>
        <w:rPr>
          <w:rFonts w:cs="Arial" w:ascii="Arial" w:hAnsi="Arial"/>
          <w:sz w:val="24"/>
          <w:szCs w:val="24"/>
        </w:rPr>
        <w:t xml:space="preserve">Hacer la transferencia por el monto correspondiente a la cuenta de la IM $ BROU N° 001551696-00127, indicando en el asunto o referencia de la transferencia </w:t>
      </w:r>
      <w:r>
        <w:rPr>
          <w:rFonts w:cs="Arial" w:ascii="Arial" w:hAnsi="Arial"/>
          <w:b/>
          <w:sz w:val="24"/>
          <w:szCs w:val="24"/>
        </w:rPr>
        <w:t xml:space="preserve">  LA/LP..Nº......"</w:t>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pPr>
      <w:r>
        <w:rPr>
          <w:rFonts w:cs="Arial" w:ascii="Arial" w:hAnsi="Arial"/>
          <w:sz w:val="24"/>
          <w:szCs w:val="24"/>
        </w:rPr>
        <w:t xml:space="preserve">Una vez realizada dicha transferencia enviar al correo </w:t>
      </w:r>
      <w:r>
        <w:rPr>
          <w:rFonts w:cs="Arial" w:ascii="Arial" w:hAnsi="Arial"/>
          <w:b/>
          <w:bCs/>
          <w:sz w:val="24"/>
          <w:szCs w:val="24"/>
        </w:rPr>
        <w:t>atencion.proveedores@imm.gub.uy</w:t>
      </w:r>
      <w:r>
        <w:rPr>
          <w:rFonts w:cs="Arial" w:ascii="Arial" w:hAnsi="Arial"/>
          <w:sz w:val="24"/>
          <w:szCs w:val="24"/>
        </w:rPr>
        <w:t>, la constancia de dicha transferencia junto con el N° de Proveedor y N° de Compra.</w:t>
      </w:r>
      <w:r/>
    </w:p>
    <w:p>
      <w:pPr>
        <w:pStyle w:val="Normal"/>
        <w:jc w:val="both"/>
        <w:rPr>
          <w:sz w:val="24"/>
          <w:shd w:fill="FFFF00" w:val="clear"/>
          <w:sz w:val="24"/>
          <w:szCs w:val="24"/>
          <w:rFonts w:ascii="Arial" w:hAnsi="Arial" w:eastAsia="Times New Roman" w:cs="Arial"/>
          <w:color w:val="auto"/>
          <w:lang w:val="es-ES" w:eastAsia="zh-CN" w:bidi="ar-SA"/>
        </w:rPr>
      </w:pPr>
      <w:r>
        <w:rPr>
          <w:rFonts w:cs="Arial" w:ascii="Arial" w:hAnsi="Arial"/>
          <w:sz w:val="24"/>
          <w:szCs w:val="24"/>
          <w:shd w:fill="FFFF00" w:val="clear"/>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t>El proveedor debe recordar incluir, en la documentación de la oferta, una copia de la constancia de dicha transferencia.</w:t>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4"/>
          <w:sz w:val="24"/>
          <w:szCs w:val="24"/>
          <w:rFonts w:ascii="Arial" w:hAnsi="Arial" w:eastAsia="Times New Roman" w:cs="Arial"/>
          <w:color w:val="auto"/>
          <w:lang w:val="es-ES" w:eastAsia="zh-CN" w:bidi="ar-SA"/>
        </w:rPr>
      </w:pPr>
      <w:r>
        <w:rPr>
          <w:rFonts w:cs="Arial" w:ascii="Arial" w:hAnsi="Arial"/>
          <w:sz w:val="24"/>
          <w:szCs w:val="24"/>
        </w:rPr>
      </w:r>
      <w:r/>
    </w:p>
    <w:p>
      <w:pPr>
        <w:pStyle w:val="Normal"/>
        <w:jc w:val="both"/>
        <w:rPr>
          <w:sz w:val="20"/>
          <w:sz w:val="20"/>
          <w:szCs w:val="20"/>
          <w:rFonts w:ascii="Times New Roman" w:hAnsi="Times New Roman" w:eastAsia="Times New Roman" w:cs="Times New Roman"/>
          <w:color w:val="auto"/>
          <w:lang w:val="es-ES" w:eastAsia="zh-CN" w:bidi="ar-SA"/>
        </w:rPr>
      </w:pPr>
      <w:r>
        <w:rPr/>
      </w:r>
      <w:r/>
    </w:p>
    <w:p>
      <w:pPr>
        <w:pStyle w:val="Normal"/>
        <w:ind w:left="720" w:right="0" w:hanging="0"/>
        <w:rPr>
          <w:sz w:val="24"/>
          <w:sz w:val="24"/>
          <w:szCs w:val="24"/>
          <w:rFonts w:ascii="Arial" w:hAnsi="Arial" w:eastAsia="Times New Roman" w:cs="Arial"/>
          <w:color w:val="auto"/>
          <w:lang w:val="es-ES" w:eastAsia="zh-CN" w:bidi="ar-SA"/>
        </w:rPr>
      </w:pPr>
      <w:r>
        <w:rPr>
          <w:rFonts w:cs="Arial" w:ascii="Arial" w:hAnsi="Arial"/>
          <w:sz w:val="24"/>
          <w:szCs w:val="24"/>
        </w:rPr>
      </w: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s-UY" w:eastAsia="zh-CN" w:bidi="hi-IN"/>
      </w:rPr>
    </w:rPrDefault>
    <w:pPrDefault>
      <w:pPr/>
    </w:pPrDefault>
  </w:docDefaults>
  <w:style w:type="paragraph" w:styleId="Normal">
    <w:name w:val="Normal"/>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es-ES" w:eastAsia="zh-CN" w:bidi="ar-SA"/>
    </w:rPr>
  </w:style>
  <w:style w:type="paragraph" w:styleId="Encabezado1">
    <w:name w:val="Encabezado 1"/>
    <w:basedOn w:val="Normal"/>
    <w:next w:val="Normal"/>
    <w:pPr>
      <w:keepNext/>
      <w:numPr>
        <w:ilvl w:val="0"/>
        <w:numId w:val="2"/>
      </w:numPr>
      <w:jc w:val="right"/>
      <w:outlineLvl w:val="0"/>
    </w:pPr>
    <w:rPr>
      <w:sz w:val="28"/>
    </w:rPr>
  </w:style>
  <w:style w:type="paragraph" w:styleId="Encabezado2">
    <w:name w:val="Encabezado 2"/>
    <w:basedOn w:val="Normal"/>
    <w:next w:val="Normal"/>
    <w:pPr>
      <w:keepNext/>
      <w:numPr>
        <w:ilvl w:val="0"/>
        <w:numId w:val="2"/>
      </w:numPr>
      <w:jc w:val="center"/>
      <w:outlineLvl w:val="1"/>
    </w:pPr>
    <w:rPr>
      <w:sz w:val="28"/>
    </w:rPr>
  </w:style>
  <w:style w:type="paragraph" w:styleId="Encabezado3">
    <w:name w:val="Encabezado 3"/>
    <w:basedOn w:val="Normal"/>
    <w:next w:val="Normal"/>
    <w:pPr>
      <w:keepNext/>
      <w:numPr>
        <w:ilvl w:val="0"/>
        <w:numId w:val="2"/>
      </w:numPr>
      <w:jc w:val="center"/>
      <w:outlineLvl w:val="2"/>
    </w:pPr>
    <w:rPr>
      <w:sz w:val="28"/>
      <w:u w:val="single"/>
    </w:rPr>
  </w:style>
  <w:style w:type="paragraph" w:styleId="Encabezado4">
    <w:name w:val="Encabezado 4"/>
    <w:basedOn w:val="Normal"/>
    <w:next w:val="Normal"/>
    <w:pPr>
      <w:keepNext/>
      <w:numPr>
        <w:ilvl w:val="0"/>
        <w:numId w:val="2"/>
      </w:numPr>
      <w:jc w:val="right"/>
      <w:outlineLvl w:val="3"/>
    </w:pPr>
    <w:rPr>
      <w:sz w:val="24"/>
    </w:rPr>
  </w:style>
  <w:style w:type="paragraph" w:styleId="Encabezado5">
    <w:name w:val="Encabezado 5"/>
    <w:basedOn w:val="Normal"/>
    <w:next w:val="Normal"/>
    <w:pPr>
      <w:keepNext/>
      <w:numPr>
        <w:ilvl w:val="0"/>
        <w:numId w:val="2"/>
      </w:numPr>
      <w:jc w:val="center"/>
      <w:outlineLvl w:val="4"/>
    </w:pPr>
    <w:rPr>
      <w:b/>
      <w:sz w:val="24"/>
      <w:u w:val="single"/>
    </w:rPr>
  </w:style>
  <w:style w:type="paragraph" w:styleId="Encabezado6">
    <w:name w:val="Encabezado 6"/>
    <w:basedOn w:val="Normal"/>
    <w:next w:val="Normal"/>
    <w:pPr>
      <w:keepNext/>
      <w:numPr>
        <w:ilvl w:val="0"/>
        <w:numId w:val="2"/>
      </w:numPr>
      <w:ind w:left="360" w:right="0" w:hanging="0"/>
      <w:jc w:val="both"/>
      <w:outlineLvl w:val="5"/>
    </w:pPr>
    <w:rPr>
      <w:b/>
      <w:u w:val="single"/>
    </w:rPr>
  </w:style>
  <w:style w:type="paragraph" w:styleId="Encabezado7">
    <w:name w:val="Encabezado 7"/>
    <w:basedOn w:val="Normal"/>
    <w:next w:val="Normal"/>
    <w:pPr>
      <w:keepNext/>
      <w:numPr>
        <w:ilvl w:val="0"/>
        <w:numId w:val="2"/>
      </w:numPr>
      <w:jc w:val="center"/>
      <w:outlineLvl w:val="6"/>
    </w:pPr>
    <w:rPr>
      <w:b/>
      <w:color w:val="800000"/>
      <w:sz w:val="28"/>
      <w:u w:val="single"/>
    </w:rPr>
  </w:style>
  <w:style w:type="paragraph" w:styleId="Encabezado8">
    <w:name w:val="Encabezado 8"/>
    <w:basedOn w:val="Normal"/>
    <w:next w:val="Normal"/>
    <w:pPr>
      <w:keepNext/>
      <w:numPr>
        <w:ilvl w:val="0"/>
        <w:numId w:val="2"/>
      </w:numPr>
      <w:jc w:val="center"/>
      <w:outlineLvl w:val="7"/>
    </w:pPr>
    <w:rPr>
      <w:b/>
      <w:sz w:val="28"/>
      <w:u w:val="single"/>
    </w:rPr>
  </w:style>
  <w:style w:type="paragraph" w:styleId="Encabezado9">
    <w:name w:val="Encabezado 9"/>
    <w:basedOn w:val="Normal"/>
    <w:next w:val="Normal"/>
    <w:pPr>
      <w:keepNext/>
      <w:numPr>
        <w:ilvl w:val="0"/>
        <w:numId w:val="2"/>
      </w:numPr>
      <w:outlineLvl w:val="8"/>
    </w:pPr>
    <w:rPr>
      <w:sz w:val="24"/>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Fuentedeprrafopredeter">
    <w:name w:val="Fuente de párrafo predeter."/>
    <w:rPr/>
  </w:style>
  <w:style w:type="character" w:styleId="Fuentedeprrafopredeter5">
    <w:name w:val="Fuente de párrafo predeter.5"/>
    <w:rPr/>
  </w:style>
  <w:style w:type="character" w:styleId="Fuentedeprrafopredeter4">
    <w:name w:val="Fuente de párrafo predeter.4"/>
    <w:rPr/>
  </w:style>
  <w:style w:type="character" w:styleId="Fuentedeprrafopredeter3">
    <w:name w:val="Fuente de párrafo predeter.3"/>
    <w:rPr/>
  </w:style>
  <w:style w:type="character" w:styleId="Fuentedeprrafopredeter2">
    <w:name w:val="Fuente de párrafo predeter.2"/>
    <w:rPr/>
  </w:style>
  <w:style w:type="character" w:styleId="WW8Num3z0">
    <w:name w:val="WW8Num3z0"/>
    <w:rPr>
      <w:rFonts w:ascii="Symbol" w:hAnsi="Symbol" w:cs="Symbol"/>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4z0">
    <w:name w:val="WW8Num4z0"/>
    <w:rPr>
      <w:rFonts w:ascii="Wingdings" w:hAnsi="Wingdings" w:cs="Wingdings"/>
    </w:rPr>
  </w:style>
  <w:style w:type="character" w:styleId="WW8Num5z0">
    <w:name w:val="WW8Num5z0"/>
    <w:rPr/>
  </w:style>
  <w:style w:type="character" w:styleId="WW8Num6z0">
    <w:name w:val="WW8Num6z0"/>
    <w:rPr/>
  </w:style>
  <w:style w:type="character" w:styleId="WW8Num7z0">
    <w:name w:val="WW8Num7z0"/>
    <w:rPr/>
  </w:style>
  <w:style w:type="character" w:styleId="WW8Num8z0">
    <w:name w:val="WW8Num8z0"/>
    <w:rPr>
      <w:rFonts w:ascii="Arial" w:hAnsi="Arial" w:eastAsia="Times New Roman" w:cs="Arial"/>
      <w:sz w:val="24"/>
      <w:szCs w:val="24"/>
      <w:shd w:fill="00FFFF" w:val="clear"/>
    </w:rPr>
  </w:style>
  <w:style w:type="character" w:styleId="WW8Num8z1">
    <w:name w:val="WW8Num8z1"/>
    <w:rPr>
      <w:rFonts w:ascii="Courier New" w:hAnsi="Courier New" w:cs="Courier New"/>
    </w:rPr>
  </w:style>
  <w:style w:type="character" w:styleId="WW8Num8z2">
    <w:name w:val="WW8Num8z2"/>
    <w:rPr>
      <w:rFonts w:ascii="Wingdings" w:hAnsi="Wingdings" w:cs="Wingdings"/>
    </w:rPr>
  </w:style>
  <w:style w:type="character" w:styleId="WW8Num8z3">
    <w:name w:val="WW8Num8z3"/>
    <w:rPr>
      <w:rFonts w:ascii="Symbol" w:hAnsi="Symbol" w:cs="Symbol"/>
    </w:rPr>
  </w:style>
  <w:style w:type="character" w:styleId="Fuentedeprrafopredeter1">
    <w:name w:val="Fuente de párrafo predeter.1"/>
    <w:rPr/>
  </w:style>
  <w:style w:type="character" w:styleId="EnlacedeInternet">
    <w:name w:val="Enlace de Internet"/>
    <w:rPr>
      <w:color w:val="0563C1"/>
      <w:u w:val="single"/>
    </w:rPr>
  </w:style>
  <w:style w:type="character" w:styleId="Destacado">
    <w:name w:val="Destacado"/>
    <w:rPr>
      <w:i/>
      <w:iCs/>
    </w:rPr>
  </w:style>
  <w:style w:type="character" w:styleId="Object">
    <w:name w:val="object"/>
    <w:basedOn w:val="Fuentedeprrafopredeter1"/>
    <w:rPr/>
  </w:style>
  <w:style w:type="paragraph" w:styleId="Encabezado">
    <w:name w:val="Encabezado"/>
    <w:basedOn w:val="Normal"/>
    <w:next w:val="Cuerpodetexto"/>
    <w:pPr>
      <w:keepNext/>
      <w:spacing w:before="240" w:after="120"/>
    </w:pPr>
    <w:rPr>
      <w:rFonts w:ascii="Liberation Sans" w:hAnsi="Liberation Sans" w:eastAsia="Microsoft YaHei" w:cs="Arial"/>
      <w:sz w:val="28"/>
      <w:szCs w:val="28"/>
    </w:rPr>
  </w:style>
  <w:style w:type="paragraph" w:styleId="Cuerpodetexto">
    <w:name w:val="Cuerpo de texto"/>
    <w:basedOn w:val="Normal"/>
    <w:pPr/>
    <w:rPr>
      <w:sz w:val="28"/>
    </w:rPr>
  </w:style>
  <w:style w:type="paragraph" w:styleId="Lista">
    <w:name w:val="Lista"/>
    <w:basedOn w:val="Cuerpodetexto"/>
    <w:pPr/>
    <w:rPr>
      <w:rFonts w:cs="FreeSans;Calibri"/>
    </w:rPr>
  </w:style>
  <w:style w:type="paragraph" w:styleId="Pie">
    <w:name w:val="Pie"/>
    <w:basedOn w:val="Normal"/>
    <w:pPr>
      <w:suppressLineNumbers/>
      <w:spacing w:before="120" w:after="120"/>
    </w:pPr>
    <w:rPr>
      <w:rFonts w:cs="Arial"/>
      <w:i/>
      <w:iCs/>
      <w:sz w:val="24"/>
      <w:szCs w:val="24"/>
    </w:rPr>
  </w:style>
  <w:style w:type="paragraph" w:styleId="Ndice">
    <w:name w:val="Índice"/>
    <w:basedOn w:val="Normal"/>
    <w:pPr>
      <w:suppressLineNumbers/>
    </w:pPr>
    <w:rPr>
      <w:rFonts w:cs="FreeSans;Calibri"/>
    </w:rPr>
  </w:style>
  <w:style w:type="paragraph" w:styleId="Encabezado51">
    <w:name w:val="Encabezado5"/>
    <w:basedOn w:val="Normal"/>
    <w:next w:val="Cuerpodetexto"/>
    <w:pPr>
      <w:keepNext/>
      <w:spacing w:before="240" w:after="120"/>
    </w:pPr>
    <w:rPr>
      <w:rFonts w:ascii="Liberation Sans;Arial" w:hAnsi="Liberation Sans;Arial" w:eastAsia="Droid Sans Fallback" w:cs="FreeSans;Calibri"/>
      <w:sz w:val="28"/>
      <w:szCs w:val="28"/>
    </w:rPr>
  </w:style>
  <w:style w:type="paragraph" w:styleId="Descripcin">
    <w:name w:val="Descripción"/>
    <w:basedOn w:val="Normal"/>
    <w:pPr>
      <w:suppressLineNumbers/>
      <w:spacing w:before="120" w:after="120"/>
    </w:pPr>
    <w:rPr>
      <w:rFonts w:cs="FreeSans;Calibri"/>
      <w:i/>
      <w:iCs/>
      <w:sz w:val="24"/>
      <w:szCs w:val="24"/>
    </w:rPr>
  </w:style>
  <w:style w:type="paragraph" w:styleId="Encabezado41">
    <w:name w:val="Encabezado4"/>
    <w:basedOn w:val="Normal"/>
    <w:next w:val="Cuerpodetexto"/>
    <w:pPr>
      <w:keepNext/>
      <w:spacing w:before="240" w:after="120"/>
    </w:pPr>
    <w:rPr>
      <w:rFonts w:ascii="Liberation Sans;Arial" w:hAnsi="Liberation Sans;Arial" w:eastAsia="Droid Sans Fallback" w:cs="FreeSans;Calibri"/>
      <w:sz w:val="28"/>
      <w:szCs w:val="28"/>
    </w:rPr>
  </w:style>
  <w:style w:type="paragraph" w:styleId="Descripcin3">
    <w:name w:val="Descripción3"/>
    <w:basedOn w:val="Normal"/>
    <w:pPr>
      <w:suppressLineNumbers/>
      <w:spacing w:before="120" w:after="120"/>
    </w:pPr>
    <w:rPr>
      <w:rFonts w:cs="FreeSans;Calibri"/>
      <w:i/>
      <w:iCs/>
      <w:sz w:val="24"/>
      <w:szCs w:val="24"/>
    </w:rPr>
  </w:style>
  <w:style w:type="paragraph" w:styleId="Encabezado31">
    <w:name w:val="Encabezado3"/>
    <w:basedOn w:val="Normal"/>
    <w:next w:val="Cuerpodetexto"/>
    <w:pPr>
      <w:keepNext/>
      <w:spacing w:before="240" w:after="120"/>
    </w:pPr>
    <w:rPr>
      <w:rFonts w:ascii="Liberation Sans;Arial" w:hAnsi="Liberation Sans;Arial" w:eastAsia="Droid Sans Fallback" w:cs="FreeSans;Calibri"/>
      <w:sz w:val="28"/>
      <w:szCs w:val="28"/>
    </w:rPr>
  </w:style>
  <w:style w:type="paragraph" w:styleId="Descripcin2">
    <w:name w:val="Descripción2"/>
    <w:basedOn w:val="Normal"/>
    <w:pPr>
      <w:suppressLineNumbers/>
      <w:spacing w:before="120" w:after="120"/>
    </w:pPr>
    <w:rPr>
      <w:rFonts w:cs="FreeSans;Calibri"/>
      <w:i/>
      <w:iCs/>
      <w:sz w:val="24"/>
      <w:szCs w:val="24"/>
    </w:rPr>
  </w:style>
  <w:style w:type="paragraph" w:styleId="Encabezado21">
    <w:name w:val="Encabezado2"/>
    <w:basedOn w:val="Normal"/>
    <w:next w:val="Cuerpodetexto"/>
    <w:pPr>
      <w:keepNext/>
      <w:spacing w:before="240" w:after="120"/>
    </w:pPr>
    <w:rPr>
      <w:rFonts w:ascii="Liberation Sans;Arial" w:hAnsi="Liberation Sans;Arial" w:eastAsia="Droid Sans Fallback" w:cs="FreeSans;Calibri"/>
      <w:sz w:val="28"/>
      <w:szCs w:val="28"/>
    </w:rPr>
  </w:style>
  <w:style w:type="paragraph" w:styleId="Epgrafe">
    <w:name w:val="Epígrafe"/>
    <w:basedOn w:val="Normal"/>
    <w:pPr>
      <w:suppressLineNumbers/>
      <w:spacing w:before="120" w:after="120"/>
    </w:pPr>
    <w:rPr>
      <w:rFonts w:cs="FreeSans;Calibri"/>
      <w:i/>
      <w:iCs/>
      <w:sz w:val="24"/>
      <w:szCs w:val="24"/>
    </w:rPr>
  </w:style>
  <w:style w:type="paragraph" w:styleId="Encabezado11">
    <w:name w:val="Encabezado1"/>
    <w:basedOn w:val="Normal"/>
    <w:next w:val="Cuerpodetexto"/>
    <w:pPr>
      <w:keepNext/>
      <w:spacing w:before="240" w:after="120"/>
    </w:pPr>
    <w:rPr>
      <w:rFonts w:ascii="Liberation Sans;Arial" w:hAnsi="Liberation Sans;Arial" w:eastAsia="Droid Sans Fallback" w:cs="FreeSans;Calibri"/>
      <w:sz w:val="28"/>
      <w:szCs w:val="28"/>
    </w:rPr>
  </w:style>
  <w:style w:type="paragraph" w:styleId="Descripcin1">
    <w:name w:val="Descripción1"/>
    <w:basedOn w:val="Normal"/>
    <w:pPr>
      <w:suppressLineNumbers/>
      <w:spacing w:before="120" w:after="120"/>
    </w:pPr>
    <w:rPr>
      <w:rFonts w:cs="FreeSans;Calibri"/>
      <w:i/>
      <w:iCs/>
      <w:sz w:val="24"/>
      <w:szCs w:val="24"/>
    </w:rPr>
  </w:style>
  <w:style w:type="paragraph" w:styleId="Encabezamiento">
    <w:name w:val="Encabezamiento"/>
    <w:basedOn w:val="Normal"/>
    <w:pPr>
      <w:tabs>
        <w:tab w:val="center" w:pos="4252" w:leader="none"/>
        <w:tab w:val="right" w:pos="8504" w:leader="none"/>
      </w:tabs>
    </w:pPr>
    <w:rPr/>
  </w:style>
  <w:style w:type="paragraph" w:styleId="Cuerpodetextoconsangra">
    <w:name w:val="Cuerpo de texto con sangría"/>
    <w:basedOn w:val="Normal"/>
    <w:pPr/>
    <w:rPr>
      <w:sz w:val="24"/>
    </w:rPr>
  </w:style>
  <w:style w:type="paragraph" w:styleId="Textoindependiente21">
    <w:name w:val="Texto independiente 21"/>
    <w:basedOn w:val="Normal"/>
    <w:pPr/>
    <w:rPr>
      <w:sz w:val="24"/>
    </w:rPr>
  </w:style>
  <w:style w:type="paragraph" w:styleId="NormalWeb">
    <w:name w:val="Normal (Web)"/>
    <w:basedOn w:val="Normal"/>
    <w:pPr>
      <w:spacing w:before="100" w:after="100"/>
    </w:pPr>
    <w:rPr>
      <w:sz w:val="24"/>
      <w:szCs w:val="24"/>
    </w:rPr>
  </w:style>
  <w:style w:type="paragraph" w:styleId="Prrafodelista">
    <w:name w:val="Párrafo de lista"/>
    <w:basedOn w:val="Normal"/>
    <w:pPr>
      <w:ind w:left="708" w:right="0" w:hanging="0"/>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veedores@imm.gub.uy"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164</TotalTime>
  <Application>LibreOffice/4.3.5.2$Windows_x86 LibreOffice_project/3a87456aaa6a95c63eea1c1b3201acedf0751bd5</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2021-04-10T18:01:00Z</dcterms:created>
  <dc:creator>IMM</dc:creator>
  <dc:language>es-UY</dc:language>
  <cp:lastPrinted>2006-12-08T13:25:00Z</cp:lastPrinted>
  <dcterms:modified xsi:type="dcterms:W3CDTF">2021-05-12T13:54:40Z</dcterms:modified>
  <cp:revision>4</cp:revision>
  <dc:title>Montevideo, 7 de julio de 2006</dc:title>
</cp:coreProperties>
</file>